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A6" w:rsidRDefault="009D4410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D441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DA15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45 СЕССИЯ 3 СОЗЫВА</w:t>
      </w:r>
    </w:p>
    <w:p w:rsidR="00DA15A6" w:rsidRDefault="00DA15A6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15A6" w:rsidRDefault="00DA15A6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 18  декабря 2017 г.                                                                                     № 145</w:t>
      </w: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DA15A6" w:rsidRDefault="00DA15A6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A15A6">
        <w:trPr>
          <w:trHeight w:val="1097"/>
        </w:trPr>
        <w:tc>
          <w:tcPr>
            <w:tcW w:w="9016" w:type="dxa"/>
          </w:tcPr>
          <w:p w:rsidR="00DA15A6" w:rsidRDefault="00DA15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19 декабря 2016 года № 101 “О бюджете Школьненского сельского поселения Белореченского района на 2017 год”</w:t>
            </w:r>
          </w:p>
          <w:p w:rsidR="00DA15A6" w:rsidRDefault="00DA15A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A15A6" w:rsidRDefault="00DA15A6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DA15A6" w:rsidRDefault="00DA15A6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DA15A6" w:rsidRDefault="00DA15A6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2017 год:</w:t>
      </w:r>
    </w:p>
    <w:p w:rsidR="00DA15A6" w:rsidRDefault="00DA15A6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28 583 400,00 рублей;</w:t>
      </w:r>
    </w:p>
    <w:p w:rsidR="00DA15A6" w:rsidRPr="004213C8" w:rsidRDefault="00DA15A6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30 299 400</w:t>
      </w:r>
      <w:r w:rsidRPr="004213C8">
        <w:rPr>
          <w:rFonts w:ascii="Times New Roman" w:hAnsi="Times New Roman" w:cs="Times New Roman"/>
          <w:sz w:val="28"/>
          <w:szCs w:val="28"/>
        </w:rPr>
        <w:t>,00 рублей;».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653CCF">
        <w:rPr>
          <w:rFonts w:ascii="Times New Roman" w:hAnsi="Times New Roman" w:cs="Times New Roman"/>
          <w:sz w:val="28"/>
          <w:szCs w:val="28"/>
        </w:rPr>
        <w:t xml:space="preserve"> 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1 491 800</w:t>
      </w:r>
      <w:r w:rsidRPr="00653CCF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925 000,00 рублей,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в сумме 60 000,00 рублей,</w:t>
      </w:r>
    </w:p>
    <w:p w:rsidR="00DA15A6" w:rsidRDefault="00DA15A6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 xml:space="preserve"> в сумме 500 000,00 рублей,</w:t>
      </w:r>
    </w:p>
    <w:p w:rsidR="00DA15A6" w:rsidRDefault="00DA15A6" w:rsidP="007B5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6 800,00 рублей.</w:t>
      </w:r>
    </w:p>
    <w:p w:rsidR="00DA15A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Уменьшить годовые бюджетные назначения в сумме  1 210 100,00 рублей</w:t>
      </w:r>
    </w:p>
    <w:p w:rsidR="00DA15A6" w:rsidRPr="00F80E7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>
        <w:rPr>
          <w:rFonts w:ascii="Times New Roman" w:hAnsi="Times New Roman" w:cs="Times New Roman"/>
          <w:sz w:val="28"/>
          <w:szCs w:val="28"/>
        </w:rPr>
        <w:t>» в сумме 10 100,00 рублей,</w:t>
      </w:r>
    </w:p>
    <w:p w:rsidR="00DA15A6" w:rsidRDefault="00DA15A6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1 150 000,00 рублей.</w:t>
      </w:r>
    </w:p>
    <w:p w:rsidR="00DA15A6" w:rsidRDefault="00DA15A6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Дополнительные доходы в сумме 331 700,00 рублей направить: </w:t>
      </w:r>
    </w:p>
    <w:p w:rsidR="00DA15A6" w:rsidRDefault="00DA15A6" w:rsidP="00BF6A75">
      <w:pPr>
        <w:pStyle w:val="docdata"/>
        <w:tabs>
          <w:tab w:val="left" w:pos="0"/>
          <w:tab w:val="left" w:pos="540"/>
          <w:tab w:val="left" w:pos="3366"/>
        </w:tabs>
        <w:spacing w:before="0"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 по коду раздела, подраздела 05 02 «Коммунальное хозяйство», целевой статье 65500L0180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в сумме 250 000,00 рублей на оплату за испытание газопровода,</w:t>
      </w:r>
    </w:p>
    <w:p w:rsidR="00DA15A6" w:rsidRDefault="00DA15A6" w:rsidP="00BF6A75">
      <w:pPr>
        <w:pStyle w:val="af1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26 700,00 рублей услуги по благоустройству,</w:t>
      </w:r>
    </w:p>
    <w:p w:rsidR="00DA15A6" w:rsidRDefault="00DA15A6" w:rsidP="006457E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22 000,00 рублей на материальные затраты,</w:t>
      </w:r>
    </w:p>
    <w:p w:rsidR="00DA15A6" w:rsidRDefault="00DA15A6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30 300,00 рублей на материальные затраты,</w:t>
      </w:r>
    </w:p>
    <w:p w:rsidR="00DA15A6" w:rsidRDefault="00DA15A6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коду раздела, подраздела 08 01 «Культура» целевой статье 59300</w:t>
      </w:r>
      <w:r w:rsidRPr="00BF6A75">
        <w:rPr>
          <w:rFonts w:ascii="Times New Roman" w:hAnsi="Times New Roman" w:cs="Times New Roman"/>
          <w:sz w:val="28"/>
          <w:szCs w:val="28"/>
        </w:rPr>
        <w:t>60826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A75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 в сумме 500,00 рублей на возмещение коммунальных услуг,</w:t>
      </w:r>
    </w:p>
    <w:p w:rsidR="00DA15A6" w:rsidRPr="00DC27C3" w:rsidRDefault="00DA15A6" w:rsidP="00F80E7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>
        <w:rPr>
          <w:rFonts w:ascii="Times New Roman" w:hAnsi="Times New Roman" w:cs="Times New Roman"/>
          <w:sz w:val="28"/>
          <w:szCs w:val="28"/>
        </w:rPr>
        <w:t>2 200</w:t>
      </w:r>
      <w:r w:rsidRPr="00DC27C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затраты.</w:t>
      </w:r>
    </w:p>
    <w:p w:rsidR="00DA15A6" w:rsidRDefault="00DA15A6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Передвинуть ассигнования в сумме 6 430,00 рублей, в том числе,         предусмотренные:</w:t>
      </w:r>
    </w:p>
    <w:p w:rsidR="00DA15A6" w:rsidRDefault="00DA15A6" w:rsidP="005438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130,00 рублей, на вид расходов 800  на оплату налогов,</w:t>
      </w:r>
    </w:p>
    <w:p w:rsidR="00DA15A6" w:rsidRDefault="00DA15A6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 целевой статье  59300</w:t>
      </w:r>
      <w:r w:rsidRPr="00BF6A75">
        <w:rPr>
          <w:rFonts w:ascii="Times New Roman" w:hAnsi="Times New Roman" w:cs="Times New Roman"/>
          <w:sz w:val="28"/>
          <w:szCs w:val="28"/>
        </w:rPr>
        <w:t>60826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A75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целевую статью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6 300.00 рублей на коммунальные услуги.</w:t>
      </w:r>
    </w:p>
    <w:p w:rsidR="00DA15A6" w:rsidRDefault="00DA15A6" w:rsidP="008E6760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6. Закрыть средства резервного фонда в сумме 50 000,00 рублей.</w:t>
      </w:r>
    </w:p>
    <w:p w:rsidR="00DA15A6" w:rsidRDefault="00DA15A6" w:rsidP="008E6760">
      <w:pPr>
        <w:pStyle w:val="af1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 xml:space="preserve">Высвободившиеся ассигнования направить по коду раздела, подраздела 05 02 «Коммунальное хозяйство», целевой статье 65500L0180 «Субсидии на реализацию мероприятий федеральной целевой программы "Устойчивое </w:t>
      </w:r>
      <w:r>
        <w:rPr>
          <w:color w:val="000000"/>
          <w:sz w:val="28"/>
          <w:szCs w:val="28"/>
        </w:rPr>
        <w:lastRenderedPageBreak/>
        <w:t>развитие сельских территорий на 2014 - 2017 годы и на период до 2020 года" (местные средства)» в сумме 50 000,00 рублей на оплату за испытание газопровода.</w:t>
      </w:r>
    </w:p>
    <w:p w:rsidR="00DA15A6" w:rsidRPr="007A0F6C" w:rsidRDefault="00DA15A6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 4-6, 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DA15A6" w:rsidRDefault="00DA15A6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в установленном порядке.</w:t>
      </w:r>
    </w:p>
    <w:p w:rsidR="00DA15A6" w:rsidRDefault="00DA15A6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решение  вступает в силу со дня его опубликования.</w:t>
      </w:r>
    </w:p>
    <w:p w:rsidR="00DA15A6" w:rsidRDefault="00DA15A6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DA15A6" w:rsidRDefault="00DA15A6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В.Н.Лантратов                                  </w:t>
      </w: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A15A6" w:rsidRDefault="00DA15A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DA15A6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18B" w:rsidRDefault="00A7318B" w:rsidP="00B57B3B">
      <w:r>
        <w:separator/>
      </w:r>
    </w:p>
  </w:endnote>
  <w:endnote w:type="continuationSeparator" w:id="1">
    <w:p w:rsidR="00A7318B" w:rsidRDefault="00A7318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18B" w:rsidRDefault="00A7318B" w:rsidP="00B57B3B">
      <w:r>
        <w:separator/>
      </w:r>
    </w:p>
  </w:footnote>
  <w:footnote w:type="continuationSeparator" w:id="1">
    <w:p w:rsidR="00A7318B" w:rsidRDefault="00A7318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5A6" w:rsidRPr="003139BC" w:rsidRDefault="009D441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DA15A6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44846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A15A6" w:rsidRDefault="00DA15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E1C9B"/>
    <w:rsid w:val="001F7497"/>
    <w:rsid w:val="00202C96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C7EC2"/>
    <w:rsid w:val="003D46E6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305D"/>
    <w:rsid w:val="008E4C84"/>
    <w:rsid w:val="008E6760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4846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4410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318B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21</cp:revision>
  <cp:lastPrinted>2017-12-18T14:28:00Z</cp:lastPrinted>
  <dcterms:created xsi:type="dcterms:W3CDTF">2017-12-13T16:31:00Z</dcterms:created>
  <dcterms:modified xsi:type="dcterms:W3CDTF">2018-09-18T12:43:00Z</dcterms:modified>
</cp:coreProperties>
</file>